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32CED842"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101</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8F10BF">
        <w:rPr>
          <w:sz w:val="24"/>
          <w:szCs w:val="24"/>
          <w:lang w:val="en-US"/>
        </w:rPr>
        <w:t>236495</w:t>
      </w:r>
    </w:p>
    <w:p w14:paraId="26998A71" w14:textId="0FE7AF71" w:rsidR="00991594" w:rsidRPr="00102757" w:rsidRDefault="00610C80" w:rsidP="00991594">
      <w:pPr>
        <w:pStyle w:val="Header"/>
        <w:tabs>
          <w:tab w:val="right" w:pos="9781"/>
          <w:tab w:val="right" w:pos="13323"/>
        </w:tabs>
        <w:outlineLvl w:val="0"/>
        <w:rPr>
          <w:sz w:val="24"/>
          <w:szCs w:val="24"/>
          <w:lang w:val="en-US" w:eastAsia="ja-JP"/>
        </w:rPr>
      </w:pPr>
      <w:r>
        <w:rPr>
          <w:sz w:val="24"/>
          <w:szCs w:val="24"/>
          <w:lang w:val="en-US" w:eastAsia="zh-CN"/>
        </w:rPr>
        <w:t>Chicago</w:t>
      </w:r>
      <w:r w:rsidR="009F0443">
        <w:rPr>
          <w:sz w:val="24"/>
          <w:szCs w:val="24"/>
          <w:lang w:val="en-US" w:eastAsia="zh-CN"/>
        </w:rPr>
        <w:t xml:space="preserve">, </w:t>
      </w:r>
      <w:r>
        <w:rPr>
          <w:sz w:val="24"/>
          <w:szCs w:val="24"/>
          <w:lang w:val="en-US" w:eastAsia="zh-CN"/>
        </w:rPr>
        <w:t>USA</w:t>
      </w:r>
      <w:r w:rsidR="00A00702" w:rsidRPr="00C42025">
        <w:rPr>
          <w:sz w:val="24"/>
          <w:szCs w:val="24"/>
          <w:lang w:val="en-US" w:eastAsia="zh-CN"/>
        </w:rPr>
        <w:t xml:space="preserve">, </w:t>
      </w:r>
      <w:r w:rsidR="00C42025" w:rsidRPr="00C42025">
        <w:rPr>
          <w:sz w:val="24"/>
          <w:szCs w:val="24"/>
          <w:lang w:val="en-US" w:eastAsia="zh-CN"/>
        </w:rPr>
        <w:t>1</w:t>
      </w:r>
      <w:r>
        <w:rPr>
          <w:sz w:val="24"/>
          <w:szCs w:val="24"/>
          <w:lang w:val="en-US" w:eastAsia="zh-CN"/>
        </w:rPr>
        <w:t>3</w:t>
      </w:r>
      <w:r w:rsidR="00194F34" w:rsidRPr="00C42025">
        <w:rPr>
          <w:sz w:val="24"/>
          <w:szCs w:val="24"/>
          <w:lang w:val="en-US" w:eastAsia="zh-CN"/>
        </w:rPr>
        <w:t xml:space="preserve"> – </w:t>
      </w:r>
      <w:r w:rsidR="00C42025" w:rsidRPr="00C42025">
        <w:rPr>
          <w:sz w:val="24"/>
          <w:szCs w:val="24"/>
          <w:lang w:val="en-US" w:eastAsia="zh-CN"/>
        </w:rPr>
        <w:t>1</w:t>
      </w:r>
      <w:r>
        <w:rPr>
          <w:sz w:val="24"/>
          <w:szCs w:val="24"/>
          <w:lang w:val="en-US" w:eastAsia="zh-CN"/>
        </w:rPr>
        <w:t>7</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Pr>
          <w:sz w:val="24"/>
          <w:szCs w:val="24"/>
          <w:lang w:val="en-US" w:eastAsia="zh-CN"/>
        </w:rPr>
        <w:t>3</w:t>
      </w:r>
    </w:p>
    <w:p w14:paraId="6B60CA4B" w14:textId="188EBDCF"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CA0A6B">
        <w:t>5.</w:t>
      </w:r>
      <w:r w:rsidR="00DF188E" w:rsidRPr="00CA0A6B">
        <w:rPr>
          <w:lang w:eastAsia="zh-CN"/>
        </w:rPr>
        <w:t>3.</w:t>
      </w:r>
      <w:r w:rsidR="00CA0A6B" w:rsidRPr="00CA0A6B">
        <w:rPr>
          <w:lang w:eastAsia="zh-CN"/>
        </w:rPr>
        <w:t>6.11</w:t>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5AE00660"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ussion</w:t>
      </w:r>
      <w:r w:rsidR="000E5713">
        <w:rPr>
          <w:bCs/>
          <w:lang w:val="en-US" w:eastAsia="zh-CN"/>
        </w:rPr>
        <w:t xml:space="preserve"> </w:t>
      </w:r>
      <w:r w:rsidR="00B54FB1">
        <w:rPr>
          <w:bCs/>
          <w:lang w:val="en-US" w:eastAsia="zh-CN"/>
        </w:rPr>
        <w:t xml:space="preserve">on </w:t>
      </w:r>
      <w:r w:rsidR="009D1EED">
        <w:rPr>
          <w:bCs/>
          <w:lang w:val="en-US" w:eastAsia="zh-CN"/>
        </w:rPr>
        <w:t>PUSCH allocation</w:t>
      </w:r>
      <w:r w:rsidR="00610C80">
        <w:rPr>
          <w:bCs/>
          <w:lang w:val="en-US" w:eastAsia="zh-CN"/>
        </w:rPr>
        <w:t xml:space="preserve"> for shared spectrum access</w:t>
      </w:r>
      <w:r w:rsidR="00005308">
        <w:rPr>
          <w:bCs/>
          <w:lang w:val="en-US" w:eastAsia="zh-CN"/>
        </w:rPr>
        <w:t xml:space="preserve"> in 38.521-1</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45792E32" w:rsidR="0052159B" w:rsidRPr="007C3270" w:rsidRDefault="009D1EED" w:rsidP="00850F39">
      <w:pPr>
        <w:rPr>
          <w:bCs/>
          <w:lang w:val="en-US" w:eastAsia="zh-CN"/>
        </w:rPr>
      </w:pPr>
      <w:r>
        <w:rPr>
          <w:bCs/>
          <w:lang w:val="en-US" w:eastAsia="zh-CN"/>
        </w:rPr>
        <w:t>The PUSCH resource allocation for test cases for shared spectrum access is based on resource allocation type 2</w:t>
      </w:r>
      <w:r w:rsidR="00FF0B70">
        <w:rPr>
          <w:bCs/>
          <w:lang w:val="en-US" w:eastAsia="zh-CN"/>
        </w:rPr>
        <w:t>,</w:t>
      </w:r>
      <w:r w:rsidR="007C3270">
        <w:rPr>
          <w:bCs/>
          <w:lang w:val="en-US" w:eastAsia="zh-CN"/>
        </w:rPr>
        <w:t xml:space="preserve"> </w:t>
      </w:r>
      <w:r>
        <w:rPr>
          <w:bCs/>
          <w:lang w:val="en-US" w:eastAsia="zh-CN"/>
        </w:rPr>
        <w:t xml:space="preserve">which is </w:t>
      </w:r>
      <w:proofErr w:type="spellStart"/>
      <w:r>
        <w:rPr>
          <w:bCs/>
          <w:lang w:val="en-US" w:eastAsia="zh-CN"/>
        </w:rPr>
        <w:t>dirrerent</w:t>
      </w:r>
      <w:proofErr w:type="spellEnd"/>
      <w:r>
        <w:rPr>
          <w:bCs/>
          <w:lang w:val="en-US" w:eastAsia="zh-CN"/>
        </w:rPr>
        <w:t xml:space="preserve"> from legacy test cases This paper gives proposals on how to </w:t>
      </w:r>
      <w:r w:rsidR="00610C80">
        <w:rPr>
          <w:bCs/>
          <w:lang w:val="en-US" w:eastAsia="zh-CN"/>
        </w:rPr>
        <w:t xml:space="preserve">define </w:t>
      </w:r>
      <w:r>
        <w:rPr>
          <w:bCs/>
          <w:lang w:val="en-US" w:eastAsia="zh-CN"/>
        </w:rPr>
        <w:t xml:space="preserve">PUSCH </w:t>
      </w:r>
      <w:r w:rsidR="00610C80">
        <w:rPr>
          <w:bCs/>
          <w:lang w:val="en-US" w:eastAsia="zh-CN"/>
        </w:rPr>
        <w:t xml:space="preserve">allocation </w:t>
      </w:r>
      <w:r>
        <w:rPr>
          <w:bCs/>
          <w:lang w:val="en-US" w:eastAsia="zh-CN"/>
        </w:rPr>
        <w:t>for shared spectrum access</w:t>
      </w:r>
      <w:r w:rsidR="009B012C">
        <w:rPr>
          <w:bCs/>
          <w:lang w:val="en-US" w:eastAsia="zh-CN"/>
        </w:rPr>
        <w:t xml:space="preserve"> for</w:t>
      </w:r>
      <w:r w:rsidR="00A3499E">
        <w:rPr>
          <w:bCs/>
          <w:lang w:val="en-US" w:eastAsia="zh-CN"/>
        </w:rPr>
        <w:t xml:space="preserve"> </w:t>
      </w:r>
      <w:r w:rsidR="009B012C">
        <w:rPr>
          <w:bCs/>
          <w:lang w:val="en-US" w:eastAsia="zh-CN"/>
        </w:rPr>
        <w:t>BW.</w:t>
      </w:r>
    </w:p>
    <w:p w14:paraId="20CA848B" w14:textId="27DE18E1" w:rsidR="0079782D" w:rsidRDefault="00850F39" w:rsidP="00882BE1">
      <w:pPr>
        <w:pStyle w:val="Heading1"/>
      </w:pPr>
      <w:r>
        <w:t>Discussion</w:t>
      </w:r>
    </w:p>
    <w:p w14:paraId="10E34D7E" w14:textId="0D3E8DEE" w:rsidR="001F7045" w:rsidRDefault="00610C80" w:rsidP="001F7045">
      <w:r>
        <w:t>In most of the NR TX test cases, the RB allocation could be one of the followi</w:t>
      </w:r>
      <w:r w:rsidR="00005308">
        <w:t xml:space="preserve">ng, </w:t>
      </w:r>
      <w:proofErr w:type="spellStart"/>
      <w:r w:rsidR="00005308">
        <w:t>Edge_Full_Left</w:t>
      </w:r>
      <w:proofErr w:type="spellEnd"/>
      <w:r w:rsidR="00005308">
        <w:t xml:space="preserve">, </w:t>
      </w:r>
      <w:proofErr w:type="spellStart"/>
      <w:r w:rsidR="00005308">
        <w:t>Edge_Full_Right</w:t>
      </w:r>
      <w:proofErr w:type="spellEnd"/>
      <w:r w:rsidR="00005308">
        <w:t xml:space="preserve">, Edge_1RB_Left, Edge_1RB_Right, </w:t>
      </w:r>
      <w:proofErr w:type="spellStart"/>
      <w:r w:rsidR="00005308">
        <w:t>Outer_Full</w:t>
      </w:r>
      <w:proofErr w:type="spellEnd"/>
      <w:r w:rsidR="00005308">
        <w:t xml:space="preserve">, </w:t>
      </w:r>
      <w:proofErr w:type="spellStart"/>
      <w:r w:rsidR="00005308">
        <w:t>Inner_Full</w:t>
      </w:r>
      <w:proofErr w:type="spellEnd"/>
      <w:r w:rsidR="00005308">
        <w:t>, Inner_1RB_Left, Inner_1RB_Right. I snippet below from 38.521-1, Table 6.1-1:</w:t>
      </w:r>
    </w:p>
    <w:p w14:paraId="541E4259" w14:textId="7947F54A" w:rsidR="00005308" w:rsidRDefault="00005308" w:rsidP="001F7045">
      <w:r>
        <w:rPr>
          <w:noProof/>
        </w:rPr>
        <w:drawing>
          <wp:inline distT="0" distB="0" distL="0" distR="0" wp14:anchorId="589A1D7B" wp14:editId="741BB56D">
            <wp:extent cx="6120765" cy="4407535"/>
            <wp:effectExtent l="57150" t="0" r="51435" b="1073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407535"/>
                    </a:xfrm>
                    <a:prstGeom prst="rect">
                      <a:avLst/>
                    </a:prstGeom>
                    <a:effectLst>
                      <a:outerShdw blurRad="50800" dist="50800" dir="5400000" algn="ctr" rotWithShape="0">
                        <a:schemeClr val="tx1"/>
                      </a:outerShdw>
                    </a:effectLst>
                  </pic:spPr>
                </pic:pic>
              </a:graphicData>
            </a:graphic>
          </wp:inline>
        </w:drawing>
      </w:r>
    </w:p>
    <w:p w14:paraId="08FC08D2" w14:textId="6F8B1F95" w:rsidR="00005308" w:rsidRDefault="00005308" w:rsidP="001F7045">
      <w:r>
        <w:t xml:space="preserve">All defined allocations above are not possible to </w:t>
      </w:r>
      <w:proofErr w:type="spellStart"/>
      <w:r>
        <w:t>alll</w:t>
      </w:r>
      <w:r w:rsidR="00317722">
        <w:t>o</w:t>
      </w:r>
      <w:r>
        <w:t>ca</w:t>
      </w:r>
      <w:r w:rsidR="00317722">
        <w:t>t</w:t>
      </w:r>
      <w:r>
        <w:t>e</w:t>
      </w:r>
      <w:proofErr w:type="spellEnd"/>
      <w:r>
        <w:t xml:space="preserve"> in shared spectrum access due to the structure of interlaces, used in resource allocation type 2. As of today, some shared spectrum access test cases refer to Table 6.1-1 in the test configuration Table</w:t>
      </w:r>
      <w:r w:rsidR="0029469B">
        <w:t>.</w:t>
      </w:r>
    </w:p>
    <w:p w14:paraId="77E4E3A3" w14:textId="189EDAB9" w:rsidR="00005308" w:rsidRDefault="00005308" w:rsidP="001F7045">
      <w:r w:rsidRPr="00B74695">
        <w:rPr>
          <w:b/>
          <w:bCs/>
        </w:rPr>
        <w:t>Observation 1</w:t>
      </w:r>
      <w:r>
        <w:rPr>
          <w:b/>
          <w:bCs/>
        </w:rPr>
        <w:t xml:space="preserve">: </w:t>
      </w:r>
      <w:r w:rsidRPr="00005308">
        <w:t>Table 6.1-1 i</w:t>
      </w:r>
      <w:r>
        <w:t xml:space="preserve">s not </w:t>
      </w:r>
      <w:r w:rsidR="00487FB5">
        <w:t xml:space="preserve">fully </w:t>
      </w:r>
      <w:r>
        <w:t xml:space="preserve">applicable </w:t>
      </w:r>
      <w:r w:rsidR="00F809A7">
        <w:t>for</w:t>
      </w:r>
      <w:r>
        <w:t xml:space="preserve"> shared spectrum access test cases. </w:t>
      </w:r>
    </w:p>
    <w:p w14:paraId="416B14DD" w14:textId="247E72D2" w:rsidR="00005308" w:rsidRDefault="00005308" w:rsidP="00005308">
      <w:r w:rsidRPr="00F47B74">
        <w:rPr>
          <w:b/>
          <w:bCs/>
        </w:rPr>
        <w:t>Proposal 1:</w:t>
      </w:r>
      <w:r>
        <w:rPr>
          <w:b/>
          <w:bCs/>
        </w:rPr>
        <w:t xml:space="preserve"> </w:t>
      </w:r>
      <w:r>
        <w:t>Add a new table in clause 6.1F in 38.521-1 for common uplink configuration for shared spectrum access.</w:t>
      </w:r>
    </w:p>
    <w:p w14:paraId="220799BD" w14:textId="032C4792" w:rsidR="00A45D0A" w:rsidRDefault="00793170" w:rsidP="00005308">
      <w:r>
        <w:lastRenderedPageBreak/>
        <w:t xml:space="preserve">As per 38.211, the number of </w:t>
      </w:r>
      <w:r w:rsidR="00470BD1">
        <w:t xml:space="preserve">resource block </w:t>
      </w:r>
      <w:r>
        <w:t>interlaces depends on the numerology:</w:t>
      </w:r>
    </w:p>
    <w:p w14:paraId="51FBACDE" w14:textId="6DFD9E52" w:rsidR="00793170" w:rsidRPr="00F47B74" w:rsidRDefault="00793170" w:rsidP="00005308">
      <w:pPr>
        <w:rPr>
          <w:b/>
          <w:bCs/>
        </w:rPr>
      </w:pPr>
      <w:r>
        <w:rPr>
          <w:noProof/>
        </w:rPr>
        <w:drawing>
          <wp:inline distT="0" distB="0" distL="0" distR="0" wp14:anchorId="35AF9099" wp14:editId="427C4135">
            <wp:extent cx="3055620" cy="721553"/>
            <wp:effectExtent l="57150" t="0" r="49530" b="1168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7494" cy="726718"/>
                    </a:xfrm>
                    <a:prstGeom prst="rect">
                      <a:avLst/>
                    </a:prstGeom>
                    <a:effectLst>
                      <a:outerShdw blurRad="50800" dist="50800" dir="5400000" algn="ctr" rotWithShape="0">
                        <a:schemeClr val="tx1"/>
                      </a:outerShdw>
                    </a:effectLst>
                  </pic:spPr>
                </pic:pic>
              </a:graphicData>
            </a:graphic>
          </wp:inline>
        </w:drawing>
      </w:r>
    </w:p>
    <w:p w14:paraId="1F1D9DE9" w14:textId="14482D7B" w:rsidR="00793170" w:rsidRDefault="00793170" w:rsidP="001F7045">
      <w:r>
        <w:t xml:space="preserve">For BW 20 MHz and SCS 15 kHz, the 10 interlaces </w:t>
      </w:r>
      <w:r w:rsidR="004550B3">
        <w:t xml:space="preserve">(M) </w:t>
      </w:r>
      <w:r>
        <w:t xml:space="preserve">over the BW </w:t>
      </w:r>
      <w:r w:rsidR="00F07895">
        <w:t xml:space="preserve">could for example look </w:t>
      </w:r>
      <w:r>
        <w:t>like</w:t>
      </w:r>
      <w:r w:rsidR="00F07895">
        <w:t xml:space="preserve">: </w:t>
      </w:r>
    </w:p>
    <w:p w14:paraId="3C2DBAFB" w14:textId="6CCA2504" w:rsidR="00005308" w:rsidRPr="00005308" w:rsidRDefault="00E047E1" w:rsidP="001F7045">
      <w:r>
        <w:rPr>
          <w:noProof/>
        </w:rPr>
        <w:drawing>
          <wp:inline distT="0" distB="0" distL="0" distR="0" wp14:anchorId="21FAF29C" wp14:editId="781B1E53">
            <wp:extent cx="6120765" cy="92646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926465"/>
                    </a:xfrm>
                    <a:prstGeom prst="rect">
                      <a:avLst/>
                    </a:prstGeom>
                  </pic:spPr>
                </pic:pic>
              </a:graphicData>
            </a:graphic>
          </wp:inline>
        </w:drawing>
      </w:r>
    </w:p>
    <w:p w14:paraId="5ED0F45D" w14:textId="4AA73871" w:rsidR="00F07895" w:rsidRDefault="002E6544" w:rsidP="00C16FD7">
      <w:r>
        <w:t>Note that</w:t>
      </w:r>
      <w:r w:rsidR="00647437">
        <w:t xml:space="preserve"> </w:t>
      </w:r>
      <w:r w:rsidR="00F07895">
        <w:t>point A</w:t>
      </w:r>
      <w:r w:rsidR="00521159">
        <w:t xml:space="preserve"> is the reference point for the interlace definition,</w:t>
      </w:r>
      <w:r w:rsidR="00F07895">
        <w:t xml:space="preserve"> </w:t>
      </w:r>
      <w:r w:rsidR="00521159">
        <w:t xml:space="preserve">starting </w:t>
      </w:r>
      <w:r w:rsidR="00C21A85">
        <w:t>from</w:t>
      </w:r>
      <w:r w:rsidR="00521159">
        <w:t xml:space="preserve"> interlace 0. Hence,</w:t>
      </w:r>
      <w:r w:rsidR="00F07895">
        <w:t xml:space="preserve"> it could be an</w:t>
      </w:r>
      <w:r w:rsidR="005D22F1">
        <w:t>y</w:t>
      </w:r>
      <w:r w:rsidR="00F07895">
        <w:t xml:space="preserve"> interlace index that starts at RB #0</w:t>
      </w:r>
      <w:r w:rsidR="002B3D18">
        <w:t xml:space="preserve"> in the </w:t>
      </w:r>
      <w:r w:rsidR="00F4234F">
        <w:t xml:space="preserve">channel </w:t>
      </w:r>
      <w:r w:rsidR="002B3D18">
        <w:t>bandwidth</w:t>
      </w:r>
      <w:r w:rsidR="00AA6A22">
        <w:t xml:space="preserve">, </w:t>
      </w:r>
      <w:r w:rsidR="00852B74">
        <w:t>depending</w:t>
      </w:r>
      <w:r w:rsidR="00AA6A22">
        <w:t xml:space="preserve"> on the test </w:t>
      </w:r>
      <w:r w:rsidR="008F34FA">
        <w:t>frequency</w:t>
      </w:r>
      <w:r w:rsidR="00AA6A22">
        <w:t xml:space="preserve"> and BW.</w:t>
      </w:r>
      <w:r w:rsidR="00F07895">
        <w:t xml:space="preserve"> </w:t>
      </w:r>
    </w:p>
    <w:p w14:paraId="17A22D2D" w14:textId="77777777" w:rsidR="007C6529" w:rsidRDefault="007C6529" w:rsidP="00C16FD7"/>
    <w:p w14:paraId="09E7B7A9" w14:textId="5459E48F" w:rsidR="007C6529" w:rsidRDefault="007C6529" w:rsidP="00C16FD7">
      <w:r w:rsidRPr="007C6529">
        <w:t xml:space="preserve">For Wideband operation over 40 MHz (2 </w:t>
      </w:r>
      <w:proofErr w:type="spellStart"/>
      <w:r w:rsidRPr="007C6529">
        <w:t>subbands</w:t>
      </w:r>
      <w:proofErr w:type="spellEnd"/>
      <w:r w:rsidRPr="007C6529">
        <w:t xml:space="preserve">) and SCS 30 kHz, </w:t>
      </w:r>
      <w:r w:rsidRPr="007C6529">
        <w:t>the 5 interlaces (M) over the BW could for example look like</w:t>
      </w:r>
      <w:r>
        <w:t>:</w:t>
      </w:r>
    </w:p>
    <w:p w14:paraId="2BAF17CA" w14:textId="404F9E48" w:rsidR="007C6529" w:rsidRPr="007C6529" w:rsidRDefault="007C6529" w:rsidP="00C16FD7">
      <w:r>
        <w:rPr>
          <w:noProof/>
        </w:rPr>
        <w:drawing>
          <wp:inline distT="0" distB="0" distL="0" distR="0" wp14:anchorId="49780AF8" wp14:editId="0E426113">
            <wp:extent cx="6120765" cy="9474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947420"/>
                    </a:xfrm>
                    <a:prstGeom prst="rect">
                      <a:avLst/>
                    </a:prstGeom>
                  </pic:spPr>
                </pic:pic>
              </a:graphicData>
            </a:graphic>
          </wp:inline>
        </w:drawing>
      </w:r>
    </w:p>
    <w:p w14:paraId="00816774" w14:textId="77777777" w:rsidR="007C6529" w:rsidRDefault="007C6529" w:rsidP="00C16FD7">
      <w:pPr>
        <w:rPr>
          <w:b/>
          <w:bCs/>
        </w:rPr>
      </w:pPr>
    </w:p>
    <w:p w14:paraId="573A3F7D" w14:textId="197D8C70" w:rsidR="004550B3" w:rsidRDefault="003A0462" w:rsidP="00C16FD7">
      <w:r w:rsidRPr="00B74695">
        <w:rPr>
          <w:b/>
          <w:bCs/>
        </w:rPr>
        <w:t xml:space="preserve">Observation </w:t>
      </w:r>
      <w:r w:rsidR="00F14B2A">
        <w:rPr>
          <w:b/>
          <w:bCs/>
        </w:rPr>
        <w:t>2</w:t>
      </w:r>
      <w:r>
        <w:rPr>
          <w:b/>
          <w:bCs/>
        </w:rPr>
        <w:t xml:space="preserve">: </w:t>
      </w:r>
      <w:r>
        <w:t xml:space="preserve">With all interlaces allocated, “Full” </w:t>
      </w:r>
      <w:r w:rsidR="00F42898">
        <w:t xml:space="preserve">RB allocation </w:t>
      </w:r>
      <w:r w:rsidR="003E2A3B">
        <w:t>is</w:t>
      </w:r>
      <w:r>
        <w:t xml:space="preserve"> obtained.</w:t>
      </w:r>
    </w:p>
    <w:p w14:paraId="7F7922EE" w14:textId="64C05901" w:rsidR="004550B3" w:rsidRDefault="003A0462" w:rsidP="00C16FD7">
      <w:r w:rsidRPr="00F47B74">
        <w:rPr>
          <w:b/>
          <w:bCs/>
        </w:rPr>
        <w:t xml:space="preserve">Proposal </w:t>
      </w:r>
      <w:r w:rsidR="00F14B2A">
        <w:rPr>
          <w:b/>
          <w:bCs/>
        </w:rPr>
        <w:t>2</w:t>
      </w:r>
      <w:r w:rsidRPr="00F47B74">
        <w:rPr>
          <w:b/>
          <w:bCs/>
        </w:rPr>
        <w:t>:</w:t>
      </w:r>
      <w:r>
        <w:rPr>
          <w:b/>
          <w:bCs/>
        </w:rPr>
        <w:t xml:space="preserve"> </w:t>
      </w:r>
      <w:r>
        <w:t xml:space="preserve">Re-use </w:t>
      </w:r>
      <w:proofErr w:type="spellStart"/>
      <w:r>
        <w:t>Outer_Full</w:t>
      </w:r>
      <w:proofErr w:type="spellEnd"/>
      <w:r>
        <w:t xml:space="preserve"> RB allocation from Table 6.1-1 into Table 6.1F-1 (new)</w:t>
      </w:r>
      <w:r w:rsidR="00151FBB">
        <w:t xml:space="preserve"> as “Full”</w:t>
      </w:r>
      <w:r>
        <w:t>.</w:t>
      </w:r>
    </w:p>
    <w:p w14:paraId="3A87BE5E" w14:textId="57383DA4" w:rsidR="00762502" w:rsidRDefault="00762502" w:rsidP="00C16FD7">
      <w:r>
        <w:t xml:space="preserve">The smallest possible allocation is one interlace, </w:t>
      </w:r>
      <w:proofErr w:type="gramStart"/>
      <w:r>
        <w:t>i.e.</w:t>
      </w:r>
      <w:proofErr w:type="gramEnd"/>
      <w:r>
        <w:t xml:space="preserve"> 10 or 11 RBs </w:t>
      </w:r>
      <w:r w:rsidR="00E7743D">
        <w:t xml:space="preserve">(for BW 20 MHz) </w:t>
      </w:r>
      <w:r>
        <w:t xml:space="preserve">depending on </w:t>
      </w:r>
      <w:r w:rsidR="007521F1">
        <w:t xml:space="preserve">the </w:t>
      </w:r>
      <w:r>
        <w:t>choice of interlace index</w:t>
      </w:r>
      <w:r w:rsidR="00F14B2A">
        <w:t>, s</w:t>
      </w:r>
      <w:r>
        <w:t>ee example below for interlace 0, BW 20 MHz, SCS 30 kHz</w:t>
      </w:r>
      <w:r w:rsidR="007521F1">
        <w:t>. The allocation in this example would be 1 RB@0, 5, 10, 15, 20, 25, 30, 35, 40, 45, 50</w:t>
      </w:r>
      <w:r w:rsidR="00F14B2A">
        <w:t>.</w:t>
      </w:r>
      <w:r w:rsidR="002E7846">
        <w:t xml:space="preserve"> Since the example below has </w:t>
      </w:r>
      <w:proofErr w:type="spellStart"/>
      <w:r w:rsidR="002E7846">
        <w:t>non contiguous</w:t>
      </w:r>
      <w:proofErr w:type="spellEnd"/>
      <w:r w:rsidR="002E7846">
        <w:t xml:space="preserve"> RR allocation, DFT-s-OFM doesn’t apply.</w:t>
      </w:r>
    </w:p>
    <w:p w14:paraId="2B2D72B6" w14:textId="0ACB150E" w:rsidR="007C6529" w:rsidRPr="00AD6C04" w:rsidRDefault="00762502" w:rsidP="00C16FD7">
      <w:r>
        <w:rPr>
          <w:noProof/>
        </w:rPr>
        <w:drawing>
          <wp:inline distT="0" distB="0" distL="0" distR="0" wp14:anchorId="03C16DA4" wp14:editId="3D493EAA">
            <wp:extent cx="6120765" cy="7118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711835"/>
                    </a:xfrm>
                    <a:prstGeom prst="rect">
                      <a:avLst/>
                    </a:prstGeom>
                  </pic:spPr>
                </pic:pic>
              </a:graphicData>
            </a:graphic>
          </wp:inline>
        </w:drawing>
      </w:r>
      <w:r w:rsidR="00714073">
        <w:t xml:space="preserve"> </w:t>
      </w:r>
      <w:r w:rsidR="00F52DEC">
        <w:t xml:space="preserve"> </w:t>
      </w:r>
    </w:p>
    <w:p w14:paraId="1AB3105A" w14:textId="323DD3EA" w:rsidR="002E7846" w:rsidRDefault="00317722" w:rsidP="00C16FD7">
      <w:r w:rsidRPr="00B74695">
        <w:rPr>
          <w:b/>
          <w:bCs/>
        </w:rPr>
        <w:t xml:space="preserve">Observation </w:t>
      </w:r>
      <w:r w:rsidR="00951395">
        <w:rPr>
          <w:b/>
          <w:bCs/>
        </w:rPr>
        <w:t>3</w:t>
      </w:r>
      <w:r>
        <w:rPr>
          <w:b/>
          <w:bCs/>
        </w:rPr>
        <w:t xml:space="preserve">: </w:t>
      </w:r>
      <w:r w:rsidRPr="00317722">
        <w:t>Additional allocations</w:t>
      </w:r>
      <w:r>
        <w:t xml:space="preserve"> (other than </w:t>
      </w:r>
      <w:r w:rsidRPr="00317722">
        <w:t>Full</w:t>
      </w:r>
      <w:r>
        <w:t>)</w:t>
      </w:r>
      <w:r w:rsidRPr="00317722">
        <w:t xml:space="preserve"> is expected</w:t>
      </w:r>
      <w:r>
        <w:t xml:space="preserve"> for shared spectrum access test cases.</w:t>
      </w:r>
    </w:p>
    <w:p w14:paraId="2BBA84EC" w14:textId="1CD3E14F" w:rsidR="002E7846" w:rsidRDefault="002E7846" w:rsidP="00C16FD7">
      <w:r w:rsidRPr="00B74695">
        <w:rPr>
          <w:b/>
          <w:bCs/>
        </w:rPr>
        <w:t xml:space="preserve">Observation </w:t>
      </w:r>
      <w:r w:rsidR="00951395">
        <w:rPr>
          <w:b/>
          <w:bCs/>
        </w:rPr>
        <w:t>4</w:t>
      </w:r>
      <w:r>
        <w:rPr>
          <w:b/>
          <w:bCs/>
        </w:rPr>
        <w:t xml:space="preserve">: </w:t>
      </w:r>
      <w:r>
        <w:t xml:space="preserve">For any RB allocation that is not “Full”, only CP-OFDM applies due to </w:t>
      </w:r>
      <w:proofErr w:type="spellStart"/>
      <w:r>
        <w:t>non contiguous</w:t>
      </w:r>
      <w:proofErr w:type="spellEnd"/>
      <w:r>
        <w:t xml:space="preserve"> RB allocation. </w:t>
      </w:r>
    </w:p>
    <w:p w14:paraId="5A40C175" w14:textId="1BCD73EC" w:rsidR="009B012C" w:rsidRDefault="00FD4F34" w:rsidP="00C16FD7">
      <w:r>
        <w:rPr>
          <w:b/>
          <w:bCs/>
        </w:rPr>
        <w:t>Proposal</w:t>
      </w:r>
      <w:r w:rsidRPr="00B74695">
        <w:rPr>
          <w:b/>
          <w:bCs/>
        </w:rPr>
        <w:t xml:space="preserve"> </w:t>
      </w:r>
      <w:r>
        <w:rPr>
          <w:b/>
          <w:bCs/>
        </w:rPr>
        <w:t xml:space="preserve">3: </w:t>
      </w:r>
      <w:r w:rsidRPr="00FD4F34">
        <w:t>Add</w:t>
      </w:r>
      <w:r w:rsidR="00F1746A">
        <w:t xml:space="preserve"> </w:t>
      </w:r>
      <w:r w:rsidR="003A24F5">
        <w:t xml:space="preserve">partial </w:t>
      </w:r>
      <w:r w:rsidRPr="00FD4F34">
        <w:t>RB allocations to new Table 6.1F-1</w:t>
      </w:r>
      <w:r w:rsidR="008F5CF2">
        <w:t>,</w:t>
      </w:r>
      <w:r w:rsidRPr="00FD4F34">
        <w:t xml:space="preserve"> if deemed necessary</w:t>
      </w:r>
      <w:r w:rsidR="003A24F5">
        <w:t xml:space="preserve"> </w:t>
      </w:r>
      <w:r w:rsidRPr="00FD4F34">
        <w:t>based on TP analysis for shared spectrum access test cases.</w:t>
      </w:r>
    </w:p>
    <w:bookmarkEnd w:id="0"/>
    <w:bookmarkEnd w:id="1"/>
    <w:p w14:paraId="008F0605" w14:textId="3B1C9764" w:rsidR="00377596" w:rsidRDefault="00AE3C58" w:rsidP="00377596">
      <w:pPr>
        <w:pStyle w:val="Heading1"/>
        <w:numPr>
          <w:ilvl w:val="0"/>
          <w:numId w:val="27"/>
        </w:numPr>
        <w:rPr>
          <w:lang w:eastAsia="zh-CN"/>
        </w:rPr>
      </w:pPr>
      <w:r>
        <w:t>Conclusion</w:t>
      </w:r>
    </w:p>
    <w:p w14:paraId="66F25952" w14:textId="09800D97" w:rsidR="008F5CF2" w:rsidRDefault="008F5CF2" w:rsidP="008F5CF2">
      <w:r w:rsidRPr="00B74695">
        <w:rPr>
          <w:b/>
          <w:bCs/>
        </w:rPr>
        <w:t>Observation 1</w:t>
      </w:r>
      <w:r>
        <w:rPr>
          <w:b/>
          <w:bCs/>
        </w:rPr>
        <w:t xml:space="preserve">: </w:t>
      </w:r>
      <w:r w:rsidRPr="00005308">
        <w:t>Table 6.1-1 i</w:t>
      </w:r>
      <w:r>
        <w:t xml:space="preserve">s not </w:t>
      </w:r>
      <w:r w:rsidR="005C2DE6">
        <w:t xml:space="preserve">fully </w:t>
      </w:r>
      <w:r>
        <w:t xml:space="preserve">applicable for shared spectrum access test cases. </w:t>
      </w:r>
    </w:p>
    <w:p w14:paraId="7A598F54" w14:textId="77777777" w:rsidR="008F5CF2" w:rsidRDefault="008F5CF2" w:rsidP="008F5CF2">
      <w:r w:rsidRPr="00F47B74">
        <w:rPr>
          <w:b/>
          <w:bCs/>
        </w:rPr>
        <w:t>Proposal 1:</w:t>
      </w:r>
      <w:r>
        <w:rPr>
          <w:b/>
          <w:bCs/>
        </w:rPr>
        <w:t xml:space="preserve"> </w:t>
      </w:r>
      <w:r>
        <w:t>Add a new table in clause 6.1F in 38.521-1 for common uplink configuration for shared spectrum access.</w:t>
      </w:r>
    </w:p>
    <w:p w14:paraId="26335D61" w14:textId="77777777" w:rsidR="008F5CF2" w:rsidRDefault="008F5CF2" w:rsidP="008F5CF2">
      <w:r w:rsidRPr="00B74695">
        <w:rPr>
          <w:b/>
          <w:bCs/>
        </w:rPr>
        <w:t xml:space="preserve">Observation </w:t>
      </w:r>
      <w:r>
        <w:rPr>
          <w:b/>
          <w:bCs/>
        </w:rPr>
        <w:t xml:space="preserve">2: </w:t>
      </w:r>
      <w:r>
        <w:t>With all interlaces allocated, “Full” RB allocation is obtained.</w:t>
      </w:r>
    </w:p>
    <w:p w14:paraId="1B921F44" w14:textId="77777777" w:rsidR="008F5CF2" w:rsidRDefault="008F5CF2" w:rsidP="008F5CF2">
      <w:r w:rsidRPr="00F47B74">
        <w:rPr>
          <w:b/>
          <w:bCs/>
        </w:rPr>
        <w:lastRenderedPageBreak/>
        <w:t xml:space="preserve">Proposal </w:t>
      </w:r>
      <w:r>
        <w:rPr>
          <w:b/>
          <w:bCs/>
        </w:rPr>
        <w:t>2</w:t>
      </w:r>
      <w:r w:rsidRPr="00F47B74">
        <w:rPr>
          <w:b/>
          <w:bCs/>
        </w:rPr>
        <w:t>:</w:t>
      </w:r>
      <w:r>
        <w:rPr>
          <w:b/>
          <w:bCs/>
        </w:rPr>
        <w:t xml:space="preserve"> </w:t>
      </w:r>
      <w:r>
        <w:t xml:space="preserve">Re-use </w:t>
      </w:r>
      <w:proofErr w:type="spellStart"/>
      <w:r>
        <w:t>Outer_Full</w:t>
      </w:r>
      <w:proofErr w:type="spellEnd"/>
      <w:r>
        <w:t xml:space="preserve"> RB allocation from Table 6.1-1 into Table 6.1F-1 (new) as “Full”.</w:t>
      </w:r>
    </w:p>
    <w:p w14:paraId="71767AED" w14:textId="379A9DDF" w:rsidR="008F5CF2" w:rsidRDefault="008F5CF2" w:rsidP="008F5CF2">
      <w:r w:rsidRPr="00B74695">
        <w:rPr>
          <w:b/>
          <w:bCs/>
        </w:rPr>
        <w:t xml:space="preserve">Observation </w:t>
      </w:r>
      <w:r w:rsidR="00951395">
        <w:rPr>
          <w:b/>
          <w:bCs/>
        </w:rPr>
        <w:t>3</w:t>
      </w:r>
      <w:r>
        <w:rPr>
          <w:b/>
          <w:bCs/>
        </w:rPr>
        <w:t xml:space="preserve">: </w:t>
      </w:r>
      <w:r w:rsidRPr="00317722">
        <w:t>Additional allocations</w:t>
      </w:r>
      <w:r>
        <w:t xml:space="preserve"> (other than </w:t>
      </w:r>
      <w:r w:rsidRPr="00317722">
        <w:t>Full</w:t>
      </w:r>
      <w:r>
        <w:t>)</w:t>
      </w:r>
      <w:r w:rsidRPr="00317722">
        <w:t xml:space="preserve"> is expected</w:t>
      </w:r>
      <w:r>
        <w:t xml:space="preserve"> for shared spectrum access test cases.</w:t>
      </w:r>
    </w:p>
    <w:p w14:paraId="6956C284" w14:textId="66F1125D" w:rsidR="008F5CF2" w:rsidRDefault="008F5CF2" w:rsidP="008F5CF2">
      <w:r w:rsidRPr="00B74695">
        <w:rPr>
          <w:b/>
          <w:bCs/>
        </w:rPr>
        <w:t xml:space="preserve">Observation </w:t>
      </w:r>
      <w:r w:rsidR="00951395">
        <w:rPr>
          <w:b/>
          <w:bCs/>
        </w:rPr>
        <w:t>4</w:t>
      </w:r>
      <w:r>
        <w:rPr>
          <w:b/>
          <w:bCs/>
        </w:rPr>
        <w:t xml:space="preserve">: </w:t>
      </w:r>
      <w:r>
        <w:t xml:space="preserve">For any RB allocation that is not “Full”, only CP-OFDM applies due to </w:t>
      </w:r>
      <w:proofErr w:type="spellStart"/>
      <w:r>
        <w:t>non contiguous</w:t>
      </w:r>
      <w:proofErr w:type="spellEnd"/>
      <w:r>
        <w:t xml:space="preserve"> RB allocation. </w:t>
      </w:r>
    </w:p>
    <w:p w14:paraId="09E69336" w14:textId="3AA2BE5C" w:rsidR="00377596" w:rsidRPr="008F5CF2" w:rsidRDefault="008F5CF2" w:rsidP="00377596">
      <w:r>
        <w:rPr>
          <w:b/>
          <w:bCs/>
        </w:rPr>
        <w:t>Proposal</w:t>
      </w:r>
      <w:r w:rsidRPr="00B74695">
        <w:rPr>
          <w:b/>
          <w:bCs/>
        </w:rPr>
        <w:t xml:space="preserve"> </w:t>
      </w:r>
      <w:r>
        <w:rPr>
          <w:b/>
          <w:bCs/>
        </w:rPr>
        <w:t xml:space="preserve">3: </w:t>
      </w:r>
      <w:r w:rsidRPr="00FD4F34">
        <w:t xml:space="preserve">Add additional </w:t>
      </w:r>
      <w:r>
        <w:t xml:space="preserve">partial </w:t>
      </w:r>
      <w:r w:rsidRPr="00FD4F34">
        <w:t>RB allocations to new Table 6.1F-1</w:t>
      </w:r>
      <w:r>
        <w:t>,</w:t>
      </w:r>
      <w:r w:rsidRPr="00FD4F34">
        <w:t xml:space="preserve"> if deemed necessary</w:t>
      </w:r>
      <w:r>
        <w:t xml:space="preserve"> </w:t>
      </w:r>
      <w:r w:rsidRPr="00FD4F34">
        <w:t>based on TP analysis for shared spectrum access test cases.</w:t>
      </w:r>
      <w:r>
        <w:rPr>
          <w:b/>
          <w:bCs/>
        </w:rPr>
        <w:t xml:space="preserve"> </w:t>
      </w:r>
    </w:p>
    <w:p w14:paraId="766837F2" w14:textId="7BF6ACA5" w:rsidR="00F02728" w:rsidRDefault="00024307" w:rsidP="00024307">
      <w:pPr>
        <w:pStyle w:val="Heading1"/>
        <w:rPr>
          <w:lang w:eastAsia="zh-CN"/>
        </w:rPr>
      </w:pPr>
      <w:r>
        <w:t>References</w:t>
      </w:r>
    </w:p>
    <w:p w14:paraId="327A72B4" w14:textId="618859E7" w:rsidR="00162018" w:rsidRDefault="00162018" w:rsidP="0086661D">
      <w:pPr>
        <w:ind w:left="564" w:hanging="564"/>
      </w:pPr>
      <w:r>
        <w:t>[</w:t>
      </w:r>
      <w:r w:rsidR="0093527E">
        <w:t>1</w:t>
      </w:r>
      <w:r>
        <w:t>]</w:t>
      </w:r>
      <w:r>
        <w:tab/>
      </w:r>
      <w:r>
        <w:tab/>
      </w:r>
      <w:r w:rsidR="00F52DEC">
        <w:t xml:space="preserve">38.521-1 </w:t>
      </w:r>
      <w:r w:rsidR="0086661D">
        <w:t xml:space="preserve">User Equipment (UE) conformance specification; Radio transmission and reception; Part 1: Range 1    Standalone </w:t>
      </w:r>
      <w:r w:rsidR="0086661D">
        <w:tab/>
      </w:r>
      <w:r w:rsidR="00F52DEC">
        <w:t>v18.0.0</w:t>
      </w:r>
    </w:p>
    <w:p w14:paraId="362E6503" w14:textId="1837523C" w:rsidR="00A711DF" w:rsidRPr="00A77833" w:rsidRDefault="00A711DF" w:rsidP="0078396E">
      <w:r>
        <w:t>[</w:t>
      </w:r>
      <w:r w:rsidR="0093527E">
        <w:t>2</w:t>
      </w:r>
      <w:r>
        <w:t>]</w:t>
      </w:r>
      <w:r w:rsidR="0093527E">
        <w:tab/>
        <w:t xml:space="preserve">     38.101-</w:t>
      </w:r>
      <w:r w:rsidR="0078396E">
        <w:t xml:space="preserve">1 User Equipment (UE) radio transmission and reception; Part 1: Range 1 Standalone    V17.6.0 </w:t>
      </w:r>
      <w:r>
        <w:tab/>
      </w:r>
      <w:r>
        <w:tab/>
      </w:r>
    </w:p>
    <w:p w14:paraId="145E226D" w14:textId="77777777" w:rsidR="00D97FF3" w:rsidRPr="0090038B" w:rsidRDefault="00D97FF3" w:rsidP="0081487C">
      <w:pPr>
        <w:rPr>
          <w:lang w:eastAsia="zh-CN"/>
        </w:rPr>
      </w:pPr>
    </w:p>
    <w:sectPr w:rsidR="00D97FF3" w:rsidRPr="0090038B" w:rsidSect="007B738C">
      <w:foot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1D3E1" w14:textId="77777777" w:rsidR="006D3BF5" w:rsidRDefault="006D3BF5">
      <w:r>
        <w:separator/>
      </w:r>
    </w:p>
  </w:endnote>
  <w:endnote w:type="continuationSeparator" w:id="0">
    <w:p w14:paraId="6183CF82" w14:textId="77777777" w:rsidR="006D3BF5" w:rsidRDefault="006D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EE437" w14:textId="77777777" w:rsidR="006D3BF5" w:rsidRDefault="006D3BF5">
      <w:r>
        <w:separator/>
      </w:r>
    </w:p>
  </w:footnote>
  <w:footnote w:type="continuationSeparator" w:id="0">
    <w:p w14:paraId="2CC8D289" w14:textId="77777777" w:rsidR="006D3BF5" w:rsidRDefault="006D3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3"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2"/>
  </w:num>
  <w:num w:numId="2" w16cid:durableId="1724477882">
    <w:abstractNumId w:val="29"/>
  </w:num>
  <w:num w:numId="3" w16cid:durableId="1349599811">
    <w:abstractNumId w:val="16"/>
  </w:num>
  <w:num w:numId="4" w16cid:durableId="2129541316">
    <w:abstractNumId w:val="17"/>
  </w:num>
  <w:num w:numId="5" w16cid:durableId="203102458">
    <w:abstractNumId w:val="2"/>
  </w:num>
  <w:num w:numId="6" w16cid:durableId="1271469703">
    <w:abstractNumId w:val="1"/>
  </w:num>
  <w:num w:numId="7" w16cid:durableId="162740462">
    <w:abstractNumId w:val="23"/>
  </w:num>
  <w:num w:numId="8" w16cid:durableId="815411874">
    <w:abstractNumId w:val="19"/>
  </w:num>
  <w:num w:numId="9" w16cid:durableId="1424839710">
    <w:abstractNumId w:val="20"/>
  </w:num>
  <w:num w:numId="10" w16cid:durableId="1903517929">
    <w:abstractNumId w:val="3"/>
  </w:num>
  <w:num w:numId="11" w16cid:durableId="922376626">
    <w:abstractNumId w:val="10"/>
  </w:num>
  <w:num w:numId="12" w16cid:durableId="542979627">
    <w:abstractNumId w:val="28"/>
  </w:num>
  <w:num w:numId="13" w16cid:durableId="1867911056">
    <w:abstractNumId w:val="9"/>
  </w:num>
  <w:num w:numId="14" w16cid:durableId="238255058">
    <w:abstractNumId w:val="27"/>
  </w:num>
  <w:num w:numId="15" w16cid:durableId="1035161156">
    <w:abstractNumId w:val="6"/>
  </w:num>
  <w:num w:numId="16" w16cid:durableId="76709731">
    <w:abstractNumId w:val="13"/>
  </w:num>
  <w:num w:numId="17" w16cid:durableId="732197495">
    <w:abstractNumId w:val="26"/>
  </w:num>
  <w:num w:numId="18" w16cid:durableId="675617333">
    <w:abstractNumId w:val="15"/>
  </w:num>
  <w:num w:numId="19" w16cid:durableId="797456228">
    <w:abstractNumId w:val="11"/>
  </w:num>
  <w:num w:numId="20" w16cid:durableId="923028050">
    <w:abstractNumId w:val="7"/>
  </w:num>
  <w:num w:numId="21" w16cid:durableId="1786079156">
    <w:abstractNumId w:val="14"/>
  </w:num>
  <w:num w:numId="22" w16cid:durableId="953709119">
    <w:abstractNumId w:val="18"/>
  </w:num>
  <w:num w:numId="23" w16cid:durableId="739525936">
    <w:abstractNumId w:val="12"/>
  </w:num>
  <w:num w:numId="24" w16cid:durableId="1064379749">
    <w:abstractNumId w:val="0"/>
  </w:num>
  <w:num w:numId="25" w16cid:durableId="1192956489">
    <w:abstractNumId w:val="4"/>
  </w:num>
  <w:num w:numId="26" w16cid:durableId="342822159">
    <w:abstractNumId w:val="25"/>
  </w:num>
  <w:num w:numId="27" w16cid:durableId="10921629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24"/>
  </w:num>
  <w:num w:numId="31" w16cid:durableId="1922907079">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1C8C"/>
    <w:rsid w:val="000122E7"/>
    <w:rsid w:val="000129F2"/>
    <w:rsid w:val="000132D4"/>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5281"/>
    <w:rsid w:val="00025EB1"/>
    <w:rsid w:val="00026106"/>
    <w:rsid w:val="000271F2"/>
    <w:rsid w:val="00027967"/>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6792B"/>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1FBB"/>
    <w:rsid w:val="00152667"/>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66E"/>
    <w:rsid w:val="00206F90"/>
    <w:rsid w:val="002071C1"/>
    <w:rsid w:val="00207326"/>
    <w:rsid w:val="00207C5E"/>
    <w:rsid w:val="0021002B"/>
    <w:rsid w:val="00210157"/>
    <w:rsid w:val="0021076D"/>
    <w:rsid w:val="00210A9E"/>
    <w:rsid w:val="00210E3C"/>
    <w:rsid w:val="0021127A"/>
    <w:rsid w:val="0021170A"/>
    <w:rsid w:val="00211CCA"/>
    <w:rsid w:val="00212D0D"/>
    <w:rsid w:val="00212FB7"/>
    <w:rsid w:val="00213248"/>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5E9"/>
    <w:rsid w:val="0025029E"/>
    <w:rsid w:val="00250649"/>
    <w:rsid w:val="002508B5"/>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18"/>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544"/>
    <w:rsid w:val="002E6768"/>
    <w:rsid w:val="002E686D"/>
    <w:rsid w:val="002E7846"/>
    <w:rsid w:val="002E7B7C"/>
    <w:rsid w:val="002F07C2"/>
    <w:rsid w:val="002F0AAF"/>
    <w:rsid w:val="002F2E22"/>
    <w:rsid w:val="002F4BBD"/>
    <w:rsid w:val="002F4FAA"/>
    <w:rsid w:val="002F5057"/>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722"/>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B7F"/>
    <w:rsid w:val="00333F00"/>
    <w:rsid w:val="0033430A"/>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496"/>
    <w:rsid w:val="00377596"/>
    <w:rsid w:val="00380BF9"/>
    <w:rsid w:val="00381183"/>
    <w:rsid w:val="0038188C"/>
    <w:rsid w:val="00382563"/>
    <w:rsid w:val="00382B4F"/>
    <w:rsid w:val="00383949"/>
    <w:rsid w:val="0038443A"/>
    <w:rsid w:val="00384B0F"/>
    <w:rsid w:val="0038503F"/>
    <w:rsid w:val="0038574C"/>
    <w:rsid w:val="003857ED"/>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462"/>
    <w:rsid w:val="003A08D3"/>
    <w:rsid w:val="003A09AE"/>
    <w:rsid w:val="003A0ECB"/>
    <w:rsid w:val="003A160C"/>
    <w:rsid w:val="003A1653"/>
    <w:rsid w:val="003A2274"/>
    <w:rsid w:val="003A24F5"/>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3BBB"/>
    <w:rsid w:val="003B422C"/>
    <w:rsid w:val="003B4574"/>
    <w:rsid w:val="003B49F2"/>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8A4"/>
    <w:rsid w:val="00454996"/>
    <w:rsid w:val="004549BD"/>
    <w:rsid w:val="00455031"/>
    <w:rsid w:val="004550B3"/>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87FB5"/>
    <w:rsid w:val="00491221"/>
    <w:rsid w:val="00491878"/>
    <w:rsid w:val="0049302E"/>
    <w:rsid w:val="0049306D"/>
    <w:rsid w:val="004930DF"/>
    <w:rsid w:val="00493804"/>
    <w:rsid w:val="00493993"/>
    <w:rsid w:val="00493BE0"/>
    <w:rsid w:val="004948CD"/>
    <w:rsid w:val="00495F11"/>
    <w:rsid w:val="00496D58"/>
    <w:rsid w:val="00496EB0"/>
    <w:rsid w:val="004975DA"/>
    <w:rsid w:val="00497D0B"/>
    <w:rsid w:val="004A0280"/>
    <w:rsid w:val="004A037B"/>
    <w:rsid w:val="004A19AF"/>
    <w:rsid w:val="004A1B7C"/>
    <w:rsid w:val="004A1D49"/>
    <w:rsid w:val="004A1E3E"/>
    <w:rsid w:val="004A2299"/>
    <w:rsid w:val="004A2451"/>
    <w:rsid w:val="004A28CC"/>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321"/>
    <w:rsid w:val="005A5927"/>
    <w:rsid w:val="005A6A66"/>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2DE6"/>
    <w:rsid w:val="005C3AB3"/>
    <w:rsid w:val="005C4859"/>
    <w:rsid w:val="005C53F4"/>
    <w:rsid w:val="005C62CC"/>
    <w:rsid w:val="005C6F59"/>
    <w:rsid w:val="005C70DF"/>
    <w:rsid w:val="005C759F"/>
    <w:rsid w:val="005C7A64"/>
    <w:rsid w:val="005C7CDC"/>
    <w:rsid w:val="005D0C05"/>
    <w:rsid w:val="005D2134"/>
    <w:rsid w:val="005D22F1"/>
    <w:rsid w:val="005D2718"/>
    <w:rsid w:val="005D2748"/>
    <w:rsid w:val="005D2B3D"/>
    <w:rsid w:val="005D2CB5"/>
    <w:rsid w:val="005D2DA8"/>
    <w:rsid w:val="005D3BCA"/>
    <w:rsid w:val="005D3E35"/>
    <w:rsid w:val="005D3F2D"/>
    <w:rsid w:val="005D42FB"/>
    <w:rsid w:val="005D5698"/>
    <w:rsid w:val="005D5CF7"/>
    <w:rsid w:val="005D64F9"/>
    <w:rsid w:val="005D70A9"/>
    <w:rsid w:val="005D7377"/>
    <w:rsid w:val="005E0428"/>
    <w:rsid w:val="005E1E23"/>
    <w:rsid w:val="005E207E"/>
    <w:rsid w:val="005E25AC"/>
    <w:rsid w:val="005E2C42"/>
    <w:rsid w:val="005E2C44"/>
    <w:rsid w:val="005E30D3"/>
    <w:rsid w:val="005E316D"/>
    <w:rsid w:val="005E3958"/>
    <w:rsid w:val="005E39B3"/>
    <w:rsid w:val="005E3A2F"/>
    <w:rsid w:val="005E3E81"/>
    <w:rsid w:val="005E4E41"/>
    <w:rsid w:val="005E5068"/>
    <w:rsid w:val="005E577D"/>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1471"/>
    <w:rsid w:val="006217E3"/>
    <w:rsid w:val="00622210"/>
    <w:rsid w:val="006223D1"/>
    <w:rsid w:val="00622D02"/>
    <w:rsid w:val="00623E38"/>
    <w:rsid w:val="00623FD6"/>
    <w:rsid w:val="006243B6"/>
    <w:rsid w:val="00624C36"/>
    <w:rsid w:val="006264A7"/>
    <w:rsid w:val="00626975"/>
    <w:rsid w:val="00626EAB"/>
    <w:rsid w:val="0062753C"/>
    <w:rsid w:val="00627AB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82E"/>
    <w:rsid w:val="0064490E"/>
    <w:rsid w:val="00644CA2"/>
    <w:rsid w:val="00644F4C"/>
    <w:rsid w:val="00644F5D"/>
    <w:rsid w:val="00645C42"/>
    <w:rsid w:val="00647437"/>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0FC"/>
    <w:rsid w:val="006C384C"/>
    <w:rsid w:val="006C3870"/>
    <w:rsid w:val="006C3E74"/>
    <w:rsid w:val="006C4495"/>
    <w:rsid w:val="006C44CB"/>
    <w:rsid w:val="006C4680"/>
    <w:rsid w:val="006C4D15"/>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5E4"/>
    <w:rsid w:val="00714AF9"/>
    <w:rsid w:val="00714BFF"/>
    <w:rsid w:val="0071530F"/>
    <w:rsid w:val="007155E0"/>
    <w:rsid w:val="00715987"/>
    <w:rsid w:val="0071604A"/>
    <w:rsid w:val="007160D5"/>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B25"/>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1771"/>
    <w:rsid w:val="00762502"/>
    <w:rsid w:val="00762A14"/>
    <w:rsid w:val="00762D51"/>
    <w:rsid w:val="007630DD"/>
    <w:rsid w:val="0076352B"/>
    <w:rsid w:val="007641C7"/>
    <w:rsid w:val="00764646"/>
    <w:rsid w:val="00764DB4"/>
    <w:rsid w:val="00764E05"/>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DDA"/>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10BF"/>
    <w:rsid w:val="008F2C42"/>
    <w:rsid w:val="008F2C4A"/>
    <w:rsid w:val="008F32F9"/>
    <w:rsid w:val="008F34FA"/>
    <w:rsid w:val="008F3FA0"/>
    <w:rsid w:val="008F40BE"/>
    <w:rsid w:val="008F4E07"/>
    <w:rsid w:val="008F4E4D"/>
    <w:rsid w:val="008F52DC"/>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1EED"/>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F3A"/>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1DC"/>
    <w:rsid w:val="00A16D27"/>
    <w:rsid w:val="00A16F17"/>
    <w:rsid w:val="00A174CD"/>
    <w:rsid w:val="00A174DA"/>
    <w:rsid w:val="00A17525"/>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31293"/>
    <w:rsid w:val="00A31416"/>
    <w:rsid w:val="00A314C2"/>
    <w:rsid w:val="00A3178C"/>
    <w:rsid w:val="00A31C8F"/>
    <w:rsid w:val="00A31DDE"/>
    <w:rsid w:val="00A32D8C"/>
    <w:rsid w:val="00A32E7F"/>
    <w:rsid w:val="00A3314F"/>
    <w:rsid w:val="00A33A45"/>
    <w:rsid w:val="00A3402B"/>
    <w:rsid w:val="00A340A5"/>
    <w:rsid w:val="00A34979"/>
    <w:rsid w:val="00A3499E"/>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43A"/>
    <w:rsid w:val="00A4567B"/>
    <w:rsid w:val="00A4574E"/>
    <w:rsid w:val="00A45D0A"/>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58F"/>
    <w:rsid w:val="00A619B4"/>
    <w:rsid w:val="00A61CB6"/>
    <w:rsid w:val="00A61EE6"/>
    <w:rsid w:val="00A62FD6"/>
    <w:rsid w:val="00A631E1"/>
    <w:rsid w:val="00A63865"/>
    <w:rsid w:val="00A63928"/>
    <w:rsid w:val="00A63F6F"/>
    <w:rsid w:val="00A64847"/>
    <w:rsid w:val="00A65681"/>
    <w:rsid w:val="00A65B59"/>
    <w:rsid w:val="00A668B0"/>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586"/>
    <w:rsid w:val="00A93941"/>
    <w:rsid w:val="00A939B7"/>
    <w:rsid w:val="00A93D61"/>
    <w:rsid w:val="00A93EFB"/>
    <w:rsid w:val="00A95D03"/>
    <w:rsid w:val="00A96371"/>
    <w:rsid w:val="00A96A3D"/>
    <w:rsid w:val="00A9792B"/>
    <w:rsid w:val="00A97E57"/>
    <w:rsid w:val="00A97E80"/>
    <w:rsid w:val="00AA04F4"/>
    <w:rsid w:val="00AA0838"/>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E0A08"/>
    <w:rsid w:val="00AE0B0C"/>
    <w:rsid w:val="00AE1411"/>
    <w:rsid w:val="00AE1462"/>
    <w:rsid w:val="00AE258C"/>
    <w:rsid w:val="00AE2FB9"/>
    <w:rsid w:val="00AE306B"/>
    <w:rsid w:val="00AE37CD"/>
    <w:rsid w:val="00AE3C58"/>
    <w:rsid w:val="00AE43DB"/>
    <w:rsid w:val="00AE4850"/>
    <w:rsid w:val="00AE54B2"/>
    <w:rsid w:val="00AE54C6"/>
    <w:rsid w:val="00AE7313"/>
    <w:rsid w:val="00AF00B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2F16"/>
    <w:rsid w:val="00BE318E"/>
    <w:rsid w:val="00BE39DB"/>
    <w:rsid w:val="00BE3F46"/>
    <w:rsid w:val="00BE4167"/>
    <w:rsid w:val="00BE453C"/>
    <w:rsid w:val="00BE491E"/>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50B8"/>
    <w:rsid w:val="00C756B7"/>
    <w:rsid w:val="00C75C29"/>
    <w:rsid w:val="00C76DF6"/>
    <w:rsid w:val="00C77545"/>
    <w:rsid w:val="00C808C6"/>
    <w:rsid w:val="00C80BB5"/>
    <w:rsid w:val="00C81C57"/>
    <w:rsid w:val="00C81C65"/>
    <w:rsid w:val="00C81F4D"/>
    <w:rsid w:val="00C82FD5"/>
    <w:rsid w:val="00C8344B"/>
    <w:rsid w:val="00C83551"/>
    <w:rsid w:val="00C83925"/>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0A6B"/>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F4C"/>
    <w:rsid w:val="00CC00ED"/>
    <w:rsid w:val="00CC0244"/>
    <w:rsid w:val="00CC1754"/>
    <w:rsid w:val="00CC1CDA"/>
    <w:rsid w:val="00CC2CA8"/>
    <w:rsid w:val="00CC3660"/>
    <w:rsid w:val="00CC36E3"/>
    <w:rsid w:val="00CC3A50"/>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5B3"/>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C9A"/>
    <w:rsid w:val="00CF5DCE"/>
    <w:rsid w:val="00CF6817"/>
    <w:rsid w:val="00CF71F8"/>
    <w:rsid w:val="00CF7659"/>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34D3"/>
    <w:rsid w:val="00D23805"/>
    <w:rsid w:val="00D23CC6"/>
    <w:rsid w:val="00D23DAF"/>
    <w:rsid w:val="00D23DFC"/>
    <w:rsid w:val="00D24724"/>
    <w:rsid w:val="00D248C5"/>
    <w:rsid w:val="00D24DAF"/>
    <w:rsid w:val="00D2500E"/>
    <w:rsid w:val="00D25360"/>
    <w:rsid w:val="00D2543D"/>
    <w:rsid w:val="00D25636"/>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520"/>
    <w:rsid w:val="00DF5AB7"/>
    <w:rsid w:val="00DF5BDD"/>
    <w:rsid w:val="00DF6838"/>
    <w:rsid w:val="00DF6B17"/>
    <w:rsid w:val="00DF7C9C"/>
    <w:rsid w:val="00E006F6"/>
    <w:rsid w:val="00E00C0F"/>
    <w:rsid w:val="00E0109F"/>
    <w:rsid w:val="00E0197F"/>
    <w:rsid w:val="00E02D49"/>
    <w:rsid w:val="00E037CA"/>
    <w:rsid w:val="00E03CDB"/>
    <w:rsid w:val="00E03F24"/>
    <w:rsid w:val="00E047E1"/>
    <w:rsid w:val="00E0486A"/>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39BB"/>
    <w:rsid w:val="00E1464B"/>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586"/>
    <w:rsid w:val="00E30630"/>
    <w:rsid w:val="00E30C79"/>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3D"/>
    <w:rsid w:val="00E774FB"/>
    <w:rsid w:val="00E77B9A"/>
    <w:rsid w:val="00E80012"/>
    <w:rsid w:val="00E8027A"/>
    <w:rsid w:val="00E80702"/>
    <w:rsid w:val="00E80F83"/>
    <w:rsid w:val="00E815A8"/>
    <w:rsid w:val="00E82089"/>
    <w:rsid w:val="00E82E03"/>
    <w:rsid w:val="00E8422D"/>
    <w:rsid w:val="00E84E3D"/>
    <w:rsid w:val="00E85287"/>
    <w:rsid w:val="00E8562D"/>
    <w:rsid w:val="00E8605D"/>
    <w:rsid w:val="00E86742"/>
    <w:rsid w:val="00E867BC"/>
    <w:rsid w:val="00E86861"/>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46A"/>
    <w:rsid w:val="00F174D6"/>
    <w:rsid w:val="00F17ADC"/>
    <w:rsid w:val="00F20267"/>
    <w:rsid w:val="00F21088"/>
    <w:rsid w:val="00F21282"/>
    <w:rsid w:val="00F21DC3"/>
    <w:rsid w:val="00F21EE9"/>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234F"/>
    <w:rsid w:val="00F42898"/>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BEC"/>
    <w:rsid w:val="00F527FE"/>
    <w:rsid w:val="00F52BFB"/>
    <w:rsid w:val="00F52DEC"/>
    <w:rsid w:val="00F52E78"/>
    <w:rsid w:val="00F53F6F"/>
    <w:rsid w:val="00F54036"/>
    <w:rsid w:val="00F54383"/>
    <w:rsid w:val="00F55035"/>
    <w:rsid w:val="00F555E7"/>
    <w:rsid w:val="00F556D2"/>
    <w:rsid w:val="00F56B56"/>
    <w:rsid w:val="00F56C19"/>
    <w:rsid w:val="00F56EE8"/>
    <w:rsid w:val="00F57B8D"/>
    <w:rsid w:val="00F600F5"/>
    <w:rsid w:val="00F60490"/>
    <w:rsid w:val="00F60573"/>
    <w:rsid w:val="00F61D42"/>
    <w:rsid w:val="00F63027"/>
    <w:rsid w:val="00F6323A"/>
    <w:rsid w:val="00F63C74"/>
    <w:rsid w:val="00F648EC"/>
    <w:rsid w:val="00F6499C"/>
    <w:rsid w:val="00F64ADA"/>
    <w:rsid w:val="00F65B71"/>
    <w:rsid w:val="00F66CE4"/>
    <w:rsid w:val="00F66D81"/>
    <w:rsid w:val="00F66ECA"/>
    <w:rsid w:val="00F67B5F"/>
    <w:rsid w:val="00F67EFD"/>
    <w:rsid w:val="00F701C7"/>
    <w:rsid w:val="00F7131D"/>
    <w:rsid w:val="00F7224D"/>
    <w:rsid w:val="00F747A0"/>
    <w:rsid w:val="00F75065"/>
    <w:rsid w:val="00F7531C"/>
    <w:rsid w:val="00F75F6A"/>
    <w:rsid w:val="00F76F9A"/>
    <w:rsid w:val="00F772CA"/>
    <w:rsid w:val="00F77711"/>
    <w:rsid w:val="00F77ECF"/>
    <w:rsid w:val="00F80764"/>
    <w:rsid w:val="00F809A7"/>
    <w:rsid w:val="00F809EB"/>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86"/>
    <w:rsid w:val="00FB6890"/>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FC"/>
    <w:rsid w:val="00FD10E6"/>
    <w:rsid w:val="00FD2180"/>
    <w:rsid w:val="00FD21C4"/>
    <w:rsid w:val="00FD21C9"/>
    <w:rsid w:val="00FD23A4"/>
    <w:rsid w:val="00FD2481"/>
    <w:rsid w:val="00FD2CE7"/>
    <w:rsid w:val="00FD32A7"/>
    <w:rsid w:val="00FD34FC"/>
    <w:rsid w:val="00FD4725"/>
    <w:rsid w:val="00FD4F00"/>
    <w:rsid w:val="00FD4F3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2022-10-10T13:40:00Z</dcterms:created>
  <dcterms:modified xsi:type="dcterms:W3CDTF">2023-11-03T13:50:00Z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